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2"/>
          <w:szCs w:val="22"/>
        </w:rPr>
      </w:pPr>
      <w:r w:rsidDel="00000000" w:rsidR="00000000" w:rsidRPr="00000000">
        <w:rPr>
          <w:rtl w:val="0"/>
        </w:rPr>
      </w:r>
    </w:p>
    <w:tbl>
      <w:tblPr>
        <w:tblStyle w:val="Table1"/>
        <w:tblW w:w="644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47"/>
        <w:gridCol w:w="1500"/>
        <w:tblGridChange w:id="0">
          <w:tblGrid>
            <w:gridCol w:w="4947"/>
            <w:gridCol w:w="1500"/>
          </w:tblGrid>
        </w:tblGridChange>
      </w:tblGrid>
      <w:tr>
        <w:trPr>
          <w:cantSplit w:val="1"/>
          <w:tblHeader w:val="0"/>
        </w:trPr>
        <w:tc>
          <w:tcPr/>
          <w:p w:rsidR="00000000" w:rsidDel="00000000" w:rsidP="00000000" w:rsidRDefault="00000000" w:rsidRPr="00000000" w14:paraId="00000002">
            <w:pPr>
              <w:rPr>
                <w:b w:val="1"/>
                <w:sz w:val="22"/>
                <w:szCs w:val="22"/>
              </w:rPr>
            </w:pPr>
            <w:r w:rsidDel="00000000" w:rsidR="00000000" w:rsidRPr="00000000">
              <w:rPr>
                <w:rtl w:val="0"/>
              </w:rPr>
            </w:r>
          </w:p>
        </w:tc>
        <w:tc>
          <w:tcPr>
            <w:shd w:fill="auto" w:val="clear"/>
          </w:tcPr>
          <w:p w:rsidR="00000000" w:rsidDel="00000000" w:rsidP="00000000" w:rsidRDefault="00000000" w:rsidRPr="00000000" w14:paraId="00000003">
            <w:pPr>
              <w:jc w:val="center"/>
              <w:rPr>
                <w:b w:val="1"/>
                <w:sz w:val="22"/>
                <w:szCs w:val="22"/>
              </w:rPr>
            </w:pPr>
            <w:r w:rsidDel="00000000" w:rsidR="00000000" w:rsidRPr="00000000">
              <w:rPr>
                <w:b w:val="1"/>
                <w:sz w:val="22"/>
                <w:szCs w:val="22"/>
                <w:rtl w:val="0"/>
              </w:rPr>
              <w:t xml:space="preserve">Maximum </w:t>
            </w:r>
          </w:p>
        </w:tc>
      </w:tr>
      <w:tr>
        <w:trPr>
          <w:cantSplit w:val="1"/>
          <w:tblHeader w:val="0"/>
        </w:trPr>
        <w:tc>
          <w:tcPr>
            <w:shd w:fill="auto" w:val="clear"/>
          </w:tcPr>
          <w:p w:rsidR="00000000" w:rsidDel="00000000" w:rsidP="00000000" w:rsidRDefault="00000000" w:rsidRPr="00000000" w14:paraId="00000004">
            <w:pPr>
              <w:rPr>
                <w:b w:val="1"/>
                <w:sz w:val="22"/>
                <w:szCs w:val="22"/>
              </w:rPr>
            </w:pPr>
            <w:r w:rsidDel="00000000" w:rsidR="00000000" w:rsidRPr="00000000">
              <w:rPr>
                <w:b w:val="1"/>
                <w:sz w:val="22"/>
                <w:szCs w:val="22"/>
                <w:rtl w:val="0"/>
              </w:rPr>
              <w:t xml:space="preserve">Organisation and methodology</w:t>
            </w:r>
          </w:p>
        </w:tc>
        <w:tc>
          <w:tcPr>
            <w:shd w:fill="auto" w:val="clear"/>
          </w:tcPr>
          <w:p w:rsidR="00000000" w:rsidDel="00000000" w:rsidP="00000000" w:rsidRDefault="00000000" w:rsidRPr="00000000" w14:paraId="00000005">
            <w:pPr>
              <w:jc w:val="center"/>
              <w:rPr>
                <w:b w:val="1"/>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006">
            <w:pPr>
              <w:rPr>
                <w:sz w:val="22"/>
                <w:szCs w:val="22"/>
              </w:rPr>
            </w:pPr>
            <w:r w:rsidDel="00000000" w:rsidR="00000000" w:rsidRPr="00000000">
              <w:rPr>
                <w:sz w:val="22"/>
                <w:szCs w:val="22"/>
                <w:rtl w:val="0"/>
              </w:rPr>
              <w:t xml:space="preserve">Rationale</w:t>
            </w:r>
          </w:p>
        </w:tc>
        <w:tc>
          <w:tcPr/>
          <w:p w:rsidR="00000000" w:rsidDel="00000000" w:rsidP="00000000" w:rsidRDefault="00000000" w:rsidRPr="00000000" w14:paraId="00000007">
            <w:pPr>
              <w:jc w:val="center"/>
              <w:rPr>
                <w:sz w:val="22"/>
                <w:szCs w:val="22"/>
              </w:rPr>
            </w:pPr>
            <w:r w:rsidDel="00000000" w:rsidR="00000000" w:rsidRPr="00000000">
              <w:rPr>
                <w:sz w:val="22"/>
                <w:szCs w:val="22"/>
                <w:rtl w:val="0"/>
              </w:rPr>
              <w:t xml:space="preserve">10</w:t>
            </w:r>
          </w:p>
        </w:tc>
      </w:tr>
      <w:tr>
        <w:trPr>
          <w:cantSplit w:val="1"/>
          <w:tblHeader w:val="0"/>
        </w:trPr>
        <w:tc>
          <w:tcPr/>
          <w:p w:rsidR="00000000" w:rsidDel="00000000" w:rsidP="00000000" w:rsidRDefault="00000000" w:rsidRPr="00000000" w14:paraId="00000008">
            <w:pPr>
              <w:rPr>
                <w:sz w:val="22"/>
                <w:szCs w:val="22"/>
              </w:rPr>
            </w:pPr>
            <w:r w:rsidDel="00000000" w:rsidR="00000000" w:rsidRPr="00000000">
              <w:rPr>
                <w:sz w:val="22"/>
                <w:szCs w:val="22"/>
                <w:rtl w:val="0"/>
              </w:rPr>
              <w:t xml:space="preserve">Strategy</w:t>
            </w:r>
          </w:p>
        </w:tc>
        <w:tc>
          <w:tcPr/>
          <w:p w:rsidR="00000000" w:rsidDel="00000000" w:rsidP="00000000" w:rsidRDefault="00000000" w:rsidRPr="00000000" w14:paraId="00000009">
            <w:pPr>
              <w:jc w:val="center"/>
              <w:rPr>
                <w:sz w:val="22"/>
                <w:szCs w:val="22"/>
              </w:rPr>
            </w:pPr>
            <w:r w:rsidDel="00000000" w:rsidR="00000000" w:rsidRPr="00000000">
              <w:rPr>
                <w:sz w:val="22"/>
                <w:szCs w:val="22"/>
                <w:rtl w:val="0"/>
              </w:rPr>
              <w:t xml:space="preserve">35</w:t>
            </w:r>
          </w:p>
        </w:tc>
      </w:tr>
      <w:tr>
        <w:trPr>
          <w:cantSplit w:val="1"/>
          <w:tblHeader w:val="0"/>
        </w:trPr>
        <w:tc>
          <w:tcPr/>
          <w:p w:rsidR="00000000" w:rsidDel="00000000" w:rsidP="00000000" w:rsidRDefault="00000000" w:rsidRPr="00000000" w14:paraId="0000000A">
            <w:pPr>
              <w:rPr>
                <w:sz w:val="22"/>
                <w:szCs w:val="22"/>
              </w:rPr>
            </w:pPr>
            <w:r w:rsidDel="00000000" w:rsidR="00000000" w:rsidRPr="00000000">
              <w:rPr>
                <w:sz w:val="22"/>
                <w:szCs w:val="22"/>
                <w:rtl w:val="0"/>
              </w:rPr>
              <w:t xml:space="preserve">Back-up function</w:t>
            </w:r>
          </w:p>
        </w:tc>
        <w:tc>
          <w:tcPr/>
          <w:p w:rsidR="00000000" w:rsidDel="00000000" w:rsidP="00000000" w:rsidRDefault="00000000" w:rsidRPr="00000000" w14:paraId="0000000B">
            <w:pPr>
              <w:jc w:val="center"/>
              <w:rPr>
                <w:sz w:val="22"/>
                <w:szCs w:val="22"/>
              </w:rPr>
            </w:pPr>
            <w:r w:rsidDel="00000000" w:rsidR="00000000" w:rsidRPr="00000000">
              <w:rPr>
                <w:sz w:val="22"/>
                <w:szCs w:val="22"/>
                <w:rtl w:val="0"/>
              </w:rPr>
              <w:t xml:space="preserve">10</w:t>
            </w:r>
          </w:p>
        </w:tc>
      </w:tr>
      <w:tr>
        <w:trPr>
          <w:cantSplit w:val="1"/>
          <w:tblHeader w:val="0"/>
        </w:trPr>
        <w:tc>
          <w:tcPr/>
          <w:p w:rsidR="00000000" w:rsidDel="00000000" w:rsidP="00000000" w:rsidRDefault="00000000" w:rsidRPr="00000000" w14:paraId="0000000C">
            <w:pPr>
              <w:rPr>
                <w:sz w:val="22"/>
                <w:szCs w:val="22"/>
              </w:rPr>
            </w:pPr>
            <w:r w:rsidDel="00000000" w:rsidR="00000000" w:rsidRPr="00000000">
              <w:rPr>
                <w:sz w:val="22"/>
                <w:szCs w:val="22"/>
                <w:rtl w:val="0"/>
              </w:rPr>
              <w:t xml:space="preserve">Timetable of activities, including the number of expert days proposed</w:t>
            </w:r>
          </w:p>
        </w:tc>
        <w:tc>
          <w:tcPr/>
          <w:p w:rsidR="00000000" w:rsidDel="00000000" w:rsidP="00000000" w:rsidRDefault="00000000" w:rsidRPr="00000000" w14:paraId="0000000D">
            <w:pPr>
              <w:jc w:val="center"/>
              <w:rPr>
                <w:sz w:val="22"/>
                <w:szCs w:val="22"/>
              </w:rPr>
            </w:pPr>
            <w:r w:rsidDel="00000000" w:rsidR="00000000" w:rsidRPr="00000000">
              <w:rPr>
                <w:sz w:val="22"/>
                <w:szCs w:val="22"/>
                <w:rtl w:val="0"/>
              </w:rPr>
              <w:t xml:space="preserve">5</w:t>
            </w:r>
          </w:p>
        </w:tc>
      </w:tr>
      <w:tr>
        <w:trPr>
          <w:cantSplit w:val="1"/>
          <w:tblHeader w:val="0"/>
        </w:trPr>
        <w:tc>
          <w:tcPr/>
          <w:p w:rsidR="00000000" w:rsidDel="00000000" w:rsidP="00000000" w:rsidRDefault="00000000" w:rsidRPr="00000000" w14:paraId="0000000E">
            <w:pPr>
              <w:rPr>
                <w:sz w:val="22"/>
                <w:szCs w:val="22"/>
              </w:rPr>
            </w:pPr>
            <w:r w:rsidDel="00000000" w:rsidR="00000000" w:rsidRPr="00000000">
              <w:rPr>
                <w:rtl w:val="0"/>
              </w:rPr>
            </w:r>
          </w:p>
        </w:tc>
        <w:tc>
          <w:tcPr/>
          <w:p w:rsidR="00000000" w:rsidDel="00000000" w:rsidP="00000000" w:rsidRDefault="00000000" w:rsidRPr="00000000" w14:paraId="0000000F">
            <w:pPr>
              <w:jc w:val="center"/>
              <w:rPr>
                <w:b w:val="1"/>
                <w:sz w:val="22"/>
                <w:szCs w:val="22"/>
              </w:rPr>
            </w:pPr>
            <w:r w:rsidDel="00000000" w:rsidR="00000000" w:rsidRPr="00000000">
              <w:rPr>
                <w:rtl w:val="0"/>
              </w:rPr>
            </w:r>
          </w:p>
        </w:tc>
      </w:tr>
      <w:tr>
        <w:trPr>
          <w:cantSplit w:val="1"/>
          <w:tblHeader w:val="0"/>
        </w:trPr>
        <w:tc>
          <w:tcPr>
            <w:shd w:fill="auto" w:val="clear"/>
          </w:tcPr>
          <w:p w:rsidR="00000000" w:rsidDel="00000000" w:rsidP="00000000" w:rsidRDefault="00000000" w:rsidRPr="00000000" w14:paraId="00000010">
            <w:pPr>
              <w:rPr>
                <w:b w:val="1"/>
                <w:sz w:val="22"/>
                <w:szCs w:val="22"/>
              </w:rPr>
            </w:pPr>
            <w:r w:rsidDel="00000000" w:rsidR="00000000" w:rsidRPr="00000000">
              <w:rPr>
                <w:b w:val="1"/>
                <w:sz w:val="22"/>
                <w:szCs w:val="22"/>
                <w:rtl w:val="0"/>
              </w:rPr>
              <w:t xml:space="preserve">Total score for organisation and methodology</w:t>
            </w:r>
          </w:p>
        </w:tc>
        <w:tc>
          <w:tcPr>
            <w:shd w:fill="auto" w:val="clear"/>
          </w:tcPr>
          <w:p w:rsidR="00000000" w:rsidDel="00000000" w:rsidP="00000000" w:rsidRDefault="00000000" w:rsidRPr="00000000" w14:paraId="00000011">
            <w:pPr>
              <w:jc w:val="center"/>
              <w:rPr>
                <w:b w:val="1"/>
                <w:sz w:val="22"/>
                <w:szCs w:val="22"/>
              </w:rPr>
            </w:pPr>
            <w:r w:rsidDel="00000000" w:rsidR="00000000" w:rsidRPr="00000000">
              <w:rPr>
                <w:b w:val="1"/>
                <w:sz w:val="22"/>
                <w:szCs w:val="22"/>
                <w:rtl w:val="0"/>
              </w:rPr>
              <w:t xml:space="preserve">60 </w:t>
            </w:r>
          </w:p>
        </w:tc>
      </w:tr>
      <w:tr>
        <w:trPr>
          <w:cantSplit w:val="1"/>
          <w:tblHeader w:val="0"/>
        </w:trPr>
        <w:tc>
          <w:tcPr/>
          <w:p w:rsidR="00000000" w:rsidDel="00000000" w:rsidP="00000000" w:rsidRDefault="00000000" w:rsidRPr="00000000" w14:paraId="00000012">
            <w:pPr>
              <w:rPr>
                <w:sz w:val="22"/>
                <w:szCs w:val="22"/>
              </w:rPr>
            </w:pPr>
            <w:r w:rsidDel="00000000" w:rsidR="00000000" w:rsidRPr="00000000">
              <w:rPr>
                <w:rtl w:val="0"/>
              </w:rPr>
            </w:r>
          </w:p>
        </w:tc>
        <w:tc>
          <w:tcPr/>
          <w:p w:rsidR="00000000" w:rsidDel="00000000" w:rsidP="00000000" w:rsidRDefault="00000000" w:rsidRPr="00000000" w14:paraId="00000013">
            <w:pPr>
              <w:jc w:val="center"/>
              <w:rPr>
                <w:b w:val="1"/>
                <w:sz w:val="22"/>
                <w:szCs w:val="22"/>
              </w:rPr>
            </w:pPr>
            <w:r w:rsidDel="00000000" w:rsidR="00000000" w:rsidRPr="00000000">
              <w:rPr>
                <w:rtl w:val="0"/>
              </w:rPr>
            </w:r>
          </w:p>
        </w:tc>
      </w:tr>
      <w:tr>
        <w:trPr>
          <w:cantSplit w:val="1"/>
          <w:tblHeader w:val="0"/>
        </w:trPr>
        <w:tc>
          <w:tcPr>
            <w:shd w:fill="auto" w:val="clear"/>
          </w:tcPr>
          <w:p w:rsidR="00000000" w:rsidDel="00000000" w:rsidP="00000000" w:rsidRDefault="00000000" w:rsidRPr="00000000" w14:paraId="00000014">
            <w:pPr>
              <w:rPr>
                <w:b w:val="1"/>
                <w:sz w:val="22"/>
                <w:szCs w:val="22"/>
              </w:rPr>
            </w:pPr>
            <w:r w:rsidDel="00000000" w:rsidR="00000000" w:rsidRPr="00000000">
              <w:rPr>
                <w:b w:val="1"/>
                <w:sz w:val="22"/>
                <w:szCs w:val="22"/>
                <w:rtl w:val="0"/>
              </w:rPr>
              <w:t xml:space="preserve">Key experts</w:t>
            </w:r>
          </w:p>
        </w:tc>
        <w:tc>
          <w:tcPr>
            <w:shd w:fill="auto" w:val="clear"/>
          </w:tcPr>
          <w:p w:rsidR="00000000" w:rsidDel="00000000" w:rsidP="00000000" w:rsidRDefault="00000000" w:rsidRPr="00000000" w14:paraId="00000015">
            <w:pPr>
              <w:jc w:val="center"/>
              <w:rPr>
                <w:b w:val="1"/>
                <w:sz w:val="22"/>
                <w:szCs w:val="22"/>
              </w:rPr>
            </w:pPr>
            <w:r w:rsidDel="00000000" w:rsidR="00000000" w:rsidRPr="00000000">
              <w:rPr>
                <w:rtl w:val="0"/>
              </w:rPr>
            </w:r>
          </w:p>
        </w:tc>
      </w:tr>
      <w:tr>
        <w:trPr>
          <w:cantSplit w:val="1"/>
          <w:tblHeader w:val="0"/>
        </w:trPr>
        <w:tc>
          <w:tcPr>
            <w:shd w:fill="auto" w:val="clear"/>
          </w:tcPr>
          <w:p w:rsidR="00000000" w:rsidDel="00000000" w:rsidP="00000000" w:rsidRDefault="00000000" w:rsidRPr="00000000" w14:paraId="00000016">
            <w:pPr>
              <w:rPr>
                <w:sz w:val="22"/>
                <w:szCs w:val="22"/>
              </w:rPr>
            </w:pPr>
            <w:r w:rsidDel="00000000" w:rsidR="00000000" w:rsidRPr="00000000">
              <w:rPr>
                <w:rtl w:val="0"/>
              </w:rPr>
            </w:r>
          </w:p>
        </w:tc>
        <w:tc>
          <w:tcPr>
            <w:shd w:fill="auto" w:val="clear"/>
          </w:tcPr>
          <w:p w:rsidR="00000000" w:rsidDel="00000000" w:rsidP="00000000" w:rsidRDefault="00000000" w:rsidRPr="00000000" w14:paraId="00000017">
            <w:pPr>
              <w:jc w:val="center"/>
              <w:rPr>
                <w:sz w:val="22"/>
                <w:szCs w:val="22"/>
              </w:rPr>
            </w:pPr>
            <w:r w:rsidDel="00000000" w:rsidR="00000000" w:rsidRPr="00000000">
              <w:rPr>
                <w:rtl w:val="0"/>
              </w:rPr>
            </w:r>
          </w:p>
        </w:tc>
      </w:tr>
      <w:tr>
        <w:trPr>
          <w:cantSplit w:val="1"/>
          <w:tblHeader w:val="0"/>
        </w:trPr>
        <w:tc>
          <w:tcPr>
            <w:shd w:fill="auto" w:val="clear"/>
          </w:tcPr>
          <w:p w:rsidR="00000000" w:rsidDel="00000000" w:rsidP="00000000" w:rsidRDefault="00000000" w:rsidRPr="00000000" w14:paraId="00000018">
            <w:pPr>
              <w:rPr>
                <w:b w:val="1"/>
                <w:sz w:val="22"/>
                <w:szCs w:val="22"/>
              </w:rPr>
            </w:pPr>
            <w:r w:rsidDel="00000000" w:rsidR="00000000" w:rsidRPr="00000000">
              <w:rPr>
                <w:b w:val="1"/>
                <w:sz w:val="22"/>
                <w:szCs w:val="22"/>
                <w:rtl w:val="0"/>
              </w:rPr>
              <w:t xml:space="preserve">Translator</w:t>
            </w:r>
          </w:p>
        </w:tc>
        <w:tc>
          <w:tcPr>
            <w:shd w:fill="auto" w:val="clear"/>
          </w:tcPr>
          <w:p w:rsidR="00000000" w:rsidDel="00000000" w:rsidP="00000000" w:rsidRDefault="00000000" w:rsidRPr="00000000" w14:paraId="00000019">
            <w:pPr>
              <w:jc w:val="center"/>
              <w:rPr>
                <w:b w:val="1"/>
                <w:sz w:val="22"/>
                <w:szCs w:val="22"/>
              </w:rPr>
            </w:pPr>
            <w:r w:rsidDel="00000000" w:rsidR="00000000" w:rsidRPr="00000000">
              <w:rPr>
                <w:rtl w:val="0"/>
              </w:rPr>
            </w:r>
          </w:p>
        </w:tc>
      </w:tr>
      <w:tr>
        <w:trPr>
          <w:cantSplit w:val="1"/>
          <w:tblHeader w:val="0"/>
        </w:trPr>
        <w:tc>
          <w:tcPr>
            <w:shd w:fill="auto" w:val="clear"/>
          </w:tcPr>
          <w:p w:rsidR="00000000" w:rsidDel="00000000" w:rsidP="00000000" w:rsidRDefault="00000000" w:rsidRPr="00000000" w14:paraId="0000001A">
            <w:pPr>
              <w:rPr>
                <w:sz w:val="22"/>
                <w:szCs w:val="22"/>
              </w:rPr>
            </w:pPr>
            <w:r w:rsidDel="00000000" w:rsidR="00000000" w:rsidRPr="00000000">
              <w:rPr>
                <w:sz w:val="22"/>
                <w:szCs w:val="22"/>
                <w:rtl w:val="0"/>
              </w:rPr>
              <w:t xml:space="preserve">Qualifications and skills</w:t>
            </w:r>
          </w:p>
        </w:tc>
        <w:tc>
          <w:tcPr>
            <w:shd w:fill="auto" w:val="clear"/>
          </w:tcPr>
          <w:p w:rsidR="00000000" w:rsidDel="00000000" w:rsidP="00000000" w:rsidRDefault="00000000" w:rsidRPr="00000000" w14:paraId="0000001B">
            <w:pPr>
              <w:jc w:val="center"/>
              <w:rPr>
                <w:sz w:val="22"/>
                <w:szCs w:val="22"/>
              </w:rPr>
            </w:pPr>
            <w:r w:rsidDel="00000000" w:rsidR="00000000" w:rsidRPr="00000000">
              <w:rPr>
                <w:sz w:val="22"/>
                <w:szCs w:val="22"/>
                <w:rtl w:val="0"/>
              </w:rPr>
              <w:t xml:space="preserve">15</w:t>
            </w:r>
          </w:p>
        </w:tc>
      </w:tr>
      <w:tr>
        <w:trPr>
          <w:cantSplit w:val="1"/>
          <w:tblHeader w:val="0"/>
        </w:trPr>
        <w:tc>
          <w:tcPr>
            <w:shd w:fill="auto" w:val="clear"/>
          </w:tcPr>
          <w:p w:rsidR="00000000" w:rsidDel="00000000" w:rsidP="00000000" w:rsidRDefault="00000000" w:rsidRPr="00000000" w14:paraId="0000001C">
            <w:pPr>
              <w:rPr>
                <w:sz w:val="22"/>
                <w:szCs w:val="22"/>
              </w:rPr>
            </w:pPr>
            <w:r w:rsidDel="00000000" w:rsidR="00000000" w:rsidRPr="00000000">
              <w:rPr>
                <w:sz w:val="22"/>
                <w:szCs w:val="22"/>
                <w:rtl w:val="0"/>
              </w:rPr>
              <w:t xml:space="preserve">General professional experience</w:t>
            </w:r>
          </w:p>
        </w:tc>
        <w:tc>
          <w:tcPr>
            <w:shd w:fill="auto" w:val="clear"/>
          </w:tcPr>
          <w:p w:rsidR="00000000" w:rsidDel="00000000" w:rsidP="00000000" w:rsidRDefault="00000000" w:rsidRPr="00000000" w14:paraId="0000001D">
            <w:pPr>
              <w:jc w:val="center"/>
              <w:rPr>
                <w:sz w:val="22"/>
                <w:szCs w:val="22"/>
              </w:rPr>
            </w:pPr>
            <w:r w:rsidDel="00000000" w:rsidR="00000000" w:rsidRPr="00000000">
              <w:rPr>
                <w:sz w:val="22"/>
                <w:szCs w:val="22"/>
                <w:rtl w:val="0"/>
              </w:rPr>
              <w:t xml:space="preserve">15</w:t>
            </w:r>
          </w:p>
        </w:tc>
      </w:tr>
      <w:tr>
        <w:trPr>
          <w:cantSplit w:val="1"/>
          <w:tblHeader w:val="0"/>
        </w:trPr>
        <w:tc>
          <w:tcPr>
            <w:shd w:fill="auto" w:val="clear"/>
          </w:tcPr>
          <w:p w:rsidR="00000000" w:rsidDel="00000000" w:rsidP="00000000" w:rsidRDefault="00000000" w:rsidRPr="00000000" w14:paraId="0000001E">
            <w:pPr>
              <w:rPr>
                <w:sz w:val="22"/>
                <w:szCs w:val="22"/>
              </w:rPr>
            </w:pPr>
            <w:r w:rsidDel="00000000" w:rsidR="00000000" w:rsidRPr="00000000">
              <w:rPr>
                <w:sz w:val="22"/>
                <w:szCs w:val="22"/>
                <w:rtl w:val="0"/>
              </w:rPr>
              <w:t xml:space="preserve">Specific professional experience</w:t>
            </w:r>
          </w:p>
        </w:tc>
        <w:tc>
          <w:tcPr>
            <w:shd w:fill="auto" w:val="clear"/>
          </w:tcPr>
          <w:p w:rsidR="00000000" w:rsidDel="00000000" w:rsidP="00000000" w:rsidRDefault="00000000" w:rsidRPr="00000000" w14:paraId="0000001F">
            <w:pPr>
              <w:jc w:val="center"/>
              <w:rPr>
                <w:sz w:val="22"/>
                <w:szCs w:val="22"/>
              </w:rPr>
            </w:pPr>
            <w:r w:rsidDel="00000000" w:rsidR="00000000" w:rsidRPr="00000000">
              <w:rPr>
                <w:sz w:val="22"/>
                <w:szCs w:val="22"/>
                <w:rtl w:val="0"/>
              </w:rPr>
              <w:t xml:space="preserve">10</w:t>
            </w:r>
          </w:p>
        </w:tc>
      </w:tr>
      <w:tr>
        <w:trPr>
          <w:cantSplit w:val="1"/>
          <w:tblHeader w:val="0"/>
        </w:trPr>
        <w:tc>
          <w:tcPr>
            <w:shd w:fill="auto" w:val="clear"/>
          </w:tcPr>
          <w:p w:rsidR="00000000" w:rsidDel="00000000" w:rsidP="00000000" w:rsidRDefault="00000000" w:rsidRPr="00000000" w14:paraId="00000020">
            <w:pPr>
              <w:rPr>
                <w:b w:val="1"/>
                <w:sz w:val="22"/>
                <w:szCs w:val="22"/>
              </w:rPr>
            </w:pPr>
            <w:r w:rsidDel="00000000" w:rsidR="00000000" w:rsidRPr="00000000">
              <w:rPr>
                <w:rtl w:val="0"/>
              </w:rPr>
            </w:r>
          </w:p>
        </w:tc>
        <w:tc>
          <w:tcPr>
            <w:shd w:fill="auto" w:val="clear"/>
          </w:tcPr>
          <w:p w:rsidR="00000000" w:rsidDel="00000000" w:rsidP="00000000" w:rsidRDefault="00000000" w:rsidRPr="00000000" w14:paraId="00000021">
            <w:pPr>
              <w:jc w:val="center"/>
              <w:rPr>
                <w:b w:val="1"/>
                <w:sz w:val="22"/>
                <w:szCs w:val="22"/>
              </w:rPr>
            </w:pPr>
            <w:r w:rsidDel="00000000" w:rsidR="00000000" w:rsidRPr="00000000">
              <w:rPr>
                <w:rtl w:val="0"/>
              </w:rPr>
            </w:r>
          </w:p>
        </w:tc>
      </w:tr>
      <w:tr>
        <w:trPr>
          <w:cantSplit w:val="1"/>
          <w:tblHeader w:val="0"/>
        </w:trPr>
        <w:tc>
          <w:tcPr>
            <w:shd w:fill="auto" w:val="clear"/>
          </w:tcPr>
          <w:p w:rsidR="00000000" w:rsidDel="00000000" w:rsidP="00000000" w:rsidRDefault="00000000" w:rsidRPr="00000000" w14:paraId="00000022">
            <w:pPr>
              <w:rPr>
                <w:b w:val="1"/>
                <w:sz w:val="22"/>
                <w:szCs w:val="22"/>
              </w:rPr>
            </w:pPr>
            <w:r w:rsidDel="00000000" w:rsidR="00000000" w:rsidRPr="00000000">
              <w:rPr>
                <w:b w:val="1"/>
                <w:sz w:val="22"/>
                <w:szCs w:val="22"/>
                <w:rtl w:val="0"/>
              </w:rPr>
              <w:t xml:space="preserve">Total score for key experts</w:t>
            </w:r>
          </w:p>
        </w:tc>
        <w:tc>
          <w:tcPr>
            <w:shd w:fill="auto" w:val="clear"/>
          </w:tcPr>
          <w:p w:rsidR="00000000" w:rsidDel="00000000" w:rsidP="00000000" w:rsidRDefault="00000000" w:rsidRPr="00000000" w14:paraId="00000023">
            <w:pPr>
              <w:jc w:val="center"/>
              <w:rPr>
                <w:b w:val="1"/>
                <w:sz w:val="22"/>
                <w:szCs w:val="22"/>
              </w:rPr>
            </w:pPr>
            <w:r w:rsidDel="00000000" w:rsidR="00000000" w:rsidRPr="00000000">
              <w:rPr>
                <w:b w:val="1"/>
                <w:sz w:val="22"/>
                <w:szCs w:val="22"/>
                <w:rtl w:val="0"/>
              </w:rPr>
              <w:t xml:space="preserve">40</w:t>
            </w:r>
          </w:p>
        </w:tc>
      </w:tr>
      <w:tr>
        <w:trPr>
          <w:cantSplit w:val="1"/>
          <w:tblHeader w:val="0"/>
        </w:trPr>
        <w:tc>
          <w:tcPr>
            <w:shd w:fill="auto" w:val="clear"/>
          </w:tcPr>
          <w:p w:rsidR="00000000" w:rsidDel="00000000" w:rsidP="00000000" w:rsidRDefault="00000000" w:rsidRPr="00000000" w14:paraId="00000024">
            <w:pPr>
              <w:rPr>
                <w:b w:val="1"/>
                <w:sz w:val="22"/>
                <w:szCs w:val="22"/>
              </w:rPr>
            </w:pPr>
            <w:r w:rsidDel="00000000" w:rsidR="00000000" w:rsidRPr="00000000">
              <w:rPr>
                <w:rtl w:val="0"/>
              </w:rPr>
            </w:r>
          </w:p>
        </w:tc>
        <w:tc>
          <w:tcPr>
            <w:shd w:fill="auto" w:val="clear"/>
          </w:tcPr>
          <w:p w:rsidR="00000000" w:rsidDel="00000000" w:rsidP="00000000" w:rsidRDefault="00000000" w:rsidRPr="00000000" w14:paraId="00000025">
            <w:pPr>
              <w:jc w:val="center"/>
              <w:rPr>
                <w:b w:val="1"/>
                <w:sz w:val="22"/>
                <w:szCs w:val="22"/>
              </w:rPr>
            </w:pPr>
            <w:r w:rsidDel="00000000" w:rsidR="00000000" w:rsidRPr="00000000">
              <w:rPr>
                <w:rtl w:val="0"/>
              </w:rPr>
            </w:r>
          </w:p>
        </w:tc>
      </w:tr>
      <w:tr>
        <w:trPr>
          <w:cantSplit w:val="1"/>
          <w:tblHeader w:val="0"/>
        </w:trPr>
        <w:tc>
          <w:tcPr>
            <w:shd w:fill="auto" w:val="clear"/>
          </w:tcPr>
          <w:p w:rsidR="00000000" w:rsidDel="00000000" w:rsidP="00000000" w:rsidRDefault="00000000" w:rsidRPr="00000000" w14:paraId="00000026">
            <w:pPr>
              <w:rPr>
                <w:b w:val="1"/>
                <w:sz w:val="22"/>
                <w:szCs w:val="22"/>
              </w:rPr>
            </w:pPr>
            <w:r w:rsidDel="00000000" w:rsidR="00000000" w:rsidRPr="00000000">
              <w:rPr>
                <w:b w:val="1"/>
                <w:sz w:val="22"/>
                <w:szCs w:val="22"/>
                <w:rtl w:val="0"/>
              </w:rPr>
              <w:t xml:space="preserve">Overall total score</w:t>
            </w:r>
          </w:p>
        </w:tc>
        <w:tc>
          <w:tcPr>
            <w:shd w:fill="auto" w:val="clear"/>
          </w:tcPr>
          <w:p w:rsidR="00000000" w:rsidDel="00000000" w:rsidP="00000000" w:rsidRDefault="00000000" w:rsidRPr="00000000" w14:paraId="00000027">
            <w:pPr>
              <w:jc w:val="center"/>
              <w:rPr>
                <w:b w:val="1"/>
                <w:sz w:val="22"/>
                <w:szCs w:val="22"/>
              </w:rPr>
            </w:pPr>
            <w:r w:rsidDel="00000000" w:rsidR="00000000" w:rsidRPr="00000000">
              <w:rPr>
                <w:b w:val="1"/>
                <w:sz w:val="22"/>
                <w:szCs w:val="22"/>
                <w:rtl w:val="0"/>
              </w:rPr>
              <w:t xml:space="preserve">100</w:t>
            </w:r>
          </w:p>
        </w:tc>
      </w:tr>
    </w:tbl>
    <w:p w:rsidR="00000000" w:rsidDel="00000000" w:rsidP="00000000" w:rsidRDefault="00000000" w:rsidRPr="00000000" w14:paraId="00000028">
      <w:pPr>
        <w:rPr>
          <w:sz w:val="22"/>
          <w:szCs w:val="22"/>
        </w:rPr>
      </w:pPr>
      <w:r w:rsidDel="00000000" w:rsidR="00000000" w:rsidRPr="00000000">
        <w:rPr>
          <w:rtl w:val="0"/>
        </w:rPr>
      </w:r>
    </w:p>
    <w:p w:rsidR="00000000" w:rsidDel="00000000" w:rsidP="00000000" w:rsidRDefault="00000000" w:rsidRPr="00000000" w14:paraId="00000029">
      <w:pPr>
        <w:rPr>
          <w:sz w:val="22"/>
          <w:szCs w:val="22"/>
        </w:rPr>
      </w:pPr>
      <w:r w:rsidDel="00000000" w:rsidR="00000000" w:rsidRPr="00000000">
        <w:rPr>
          <w:rtl w:val="0"/>
        </w:rPr>
      </w:r>
    </w:p>
    <w:tbl>
      <w:tblPr>
        <w:tblStyle w:val="Table2"/>
        <w:tblW w:w="843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78"/>
        <w:gridCol w:w="6954"/>
        <w:tblGridChange w:id="0">
          <w:tblGrid>
            <w:gridCol w:w="1478"/>
            <w:gridCol w:w="6954"/>
          </w:tblGrid>
        </w:tblGridChange>
      </w:tblGrid>
      <w:tr>
        <w:trPr>
          <w:cantSplit w:val="0"/>
          <w:trHeight w:val="357" w:hRule="atLeast"/>
          <w:tblHeader w:val="0"/>
        </w:trPr>
        <w:tc>
          <w:tcPr>
            <w:shd w:fill="e6e6e6" w:val="clear"/>
            <w:vAlign w:val="center"/>
          </w:tcPr>
          <w:p w:rsidR="00000000" w:rsidDel="00000000" w:rsidP="00000000" w:rsidRDefault="00000000" w:rsidRPr="00000000" w14:paraId="0000002A">
            <w:pPr>
              <w:spacing w:after="120" w:before="120" w:lineRule="auto"/>
              <w:rPr>
                <w:b w:val="1"/>
                <w:sz w:val="22"/>
                <w:szCs w:val="22"/>
              </w:rPr>
            </w:pPr>
            <w:r w:rsidDel="00000000" w:rsidR="00000000" w:rsidRPr="00000000">
              <w:rPr>
                <w:b w:val="1"/>
                <w:sz w:val="22"/>
                <w:szCs w:val="22"/>
                <w:rtl w:val="0"/>
              </w:rPr>
              <w:t xml:space="preserve">Strengths</w:t>
            </w:r>
          </w:p>
        </w:tc>
        <w:tc>
          <w:tcPr>
            <w:vAlign w:val="center"/>
          </w:tcPr>
          <w:p w:rsidR="00000000" w:rsidDel="00000000" w:rsidP="00000000" w:rsidRDefault="00000000" w:rsidRPr="00000000" w14:paraId="0000002B">
            <w:pPr>
              <w:spacing w:after="40" w:before="40" w:lineRule="auto"/>
              <w:rPr>
                <w:sz w:val="22"/>
                <w:szCs w:val="22"/>
              </w:rPr>
            </w:pPr>
            <w:r w:rsidDel="00000000" w:rsidR="00000000" w:rsidRPr="00000000">
              <w:rPr>
                <w:rtl w:val="0"/>
              </w:rPr>
            </w:r>
          </w:p>
          <w:p w:rsidR="00000000" w:rsidDel="00000000" w:rsidP="00000000" w:rsidRDefault="00000000" w:rsidRPr="00000000" w14:paraId="0000002C">
            <w:pPr>
              <w:spacing w:after="40" w:before="40" w:lineRule="auto"/>
              <w:rPr>
                <w:sz w:val="22"/>
                <w:szCs w:val="22"/>
              </w:rPr>
            </w:pPr>
            <w:r w:rsidDel="00000000" w:rsidR="00000000" w:rsidRPr="00000000">
              <w:rPr>
                <w:rtl w:val="0"/>
              </w:rPr>
            </w:r>
          </w:p>
          <w:p w:rsidR="00000000" w:rsidDel="00000000" w:rsidP="00000000" w:rsidRDefault="00000000" w:rsidRPr="00000000" w14:paraId="0000002D">
            <w:pPr>
              <w:spacing w:after="40" w:before="40" w:lineRule="auto"/>
              <w:rPr>
                <w:sz w:val="22"/>
                <w:szCs w:val="22"/>
              </w:rPr>
            </w:pPr>
            <w:r w:rsidDel="00000000" w:rsidR="00000000" w:rsidRPr="00000000">
              <w:rPr>
                <w:rtl w:val="0"/>
              </w:rPr>
            </w:r>
          </w:p>
        </w:tc>
      </w:tr>
      <w:tr>
        <w:trPr>
          <w:cantSplit w:val="0"/>
          <w:trHeight w:val="975" w:hRule="atLeast"/>
          <w:tblHeader w:val="0"/>
        </w:trPr>
        <w:tc>
          <w:tcPr>
            <w:shd w:fill="e6e6e6" w:val="clear"/>
            <w:vAlign w:val="center"/>
          </w:tcPr>
          <w:p w:rsidR="00000000" w:rsidDel="00000000" w:rsidP="00000000" w:rsidRDefault="00000000" w:rsidRPr="00000000" w14:paraId="0000002E">
            <w:pPr>
              <w:spacing w:after="120" w:before="120" w:lineRule="auto"/>
              <w:rPr>
                <w:b w:val="1"/>
                <w:sz w:val="22"/>
                <w:szCs w:val="22"/>
              </w:rPr>
            </w:pPr>
            <w:r w:rsidDel="00000000" w:rsidR="00000000" w:rsidRPr="00000000">
              <w:rPr>
                <w:b w:val="1"/>
                <w:sz w:val="22"/>
                <w:szCs w:val="22"/>
                <w:rtl w:val="0"/>
              </w:rPr>
              <w:t xml:space="preserve">Weaknesses</w:t>
            </w:r>
          </w:p>
        </w:tc>
        <w:tc>
          <w:tcPr>
            <w:vAlign w:val="center"/>
          </w:tcPr>
          <w:p w:rsidR="00000000" w:rsidDel="00000000" w:rsidP="00000000" w:rsidRDefault="00000000" w:rsidRPr="00000000" w14:paraId="0000002F">
            <w:pPr>
              <w:spacing w:after="40" w:before="40" w:lineRule="auto"/>
              <w:rPr>
                <w:sz w:val="22"/>
                <w:szCs w:val="22"/>
              </w:rPr>
            </w:pPr>
            <w:r w:rsidDel="00000000" w:rsidR="00000000" w:rsidRPr="00000000">
              <w:rPr>
                <w:rtl w:val="0"/>
              </w:rPr>
            </w:r>
          </w:p>
          <w:p w:rsidR="00000000" w:rsidDel="00000000" w:rsidP="00000000" w:rsidRDefault="00000000" w:rsidRPr="00000000" w14:paraId="00000030">
            <w:pPr>
              <w:spacing w:after="40" w:before="40" w:lineRule="auto"/>
              <w:rPr>
                <w:sz w:val="22"/>
                <w:szCs w:val="22"/>
              </w:rPr>
            </w:pPr>
            <w:r w:rsidDel="00000000" w:rsidR="00000000" w:rsidRPr="00000000">
              <w:rPr>
                <w:rtl w:val="0"/>
              </w:rPr>
            </w:r>
          </w:p>
          <w:p w:rsidR="00000000" w:rsidDel="00000000" w:rsidP="00000000" w:rsidRDefault="00000000" w:rsidRPr="00000000" w14:paraId="00000031">
            <w:pPr>
              <w:spacing w:after="40" w:before="40" w:lineRule="auto"/>
              <w:rPr>
                <w:sz w:val="22"/>
                <w:szCs w:val="22"/>
              </w:rPr>
            </w:pPr>
            <w:r w:rsidDel="00000000" w:rsidR="00000000" w:rsidRPr="00000000">
              <w:rPr>
                <w:rtl w:val="0"/>
              </w:rPr>
            </w:r>
          </w:p>
        </w:tc>
      </w:tr>
    </w:tbl>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right" w:leader="none" w:pos="567"/>
        </w:tabs>
        <w:spacing w:after="0" w:before="0" w:line="240" w:lineRule="auto"/>
        <w:ind w:left="567" w:right="0" w:hanging="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NB: </w:t>
        <w:tab/>
        <w:t xml:space="preserve">Only tenders with average scores of at least 75 points qualify for the financial evaluation.</w:t>
      </w:r>
    </w:p>
    <w:p w:rsidR="00000000" w:rsidDel="00000000" w:rsidP="00000000" w:rsidRDefault="00000000" w:rsidRPr="00000000" w14:paraId="00000035">
      <w:pPr>
        <w:rPr>
          <w:sz w:val="22"/>
          <w:szCs w:val="22"/>
        </w:rPr>
      </w:pPr>
      <w:r w:rsidDel="00000000" w:rsidR="00000000" w:rsidRPr="00000000">
        <w:rPr>
          <w:rtl w:val="0"/>
        </w:rPr>
      </w:r>
    </w:p>
    <w:p w:rsidR="00000000" w:rsidDel="00000000" w:rsidP="00000000" w:rsidRDefault="00000000" w:rsidRPr="00000000" w14:paraId="00000036">
      <w:pPr>
        <w:rPr>
          <w:sz w:val="22"/>
          <w:szCs w:val="22"/>
        </w:rPr>
      </w:pPr>
      <w:r w:rsidDel="00000000" w:rsidR="00000000" w:rsidRPr="00000000">
        <w:rPr>
          <w:rtl w:val="0"/>
        </w:rPr>
      </w:r>
    </w:p>
    <w:p w:rsidR="00000000" w:rsidDel="00000000" w:rsidP="00000000" w:rsidRDefault="00000000" w:rsidRPr="00000000" w14:paraId="00000037">
      <w:pPr>
        <w:keepNext w:val="0"/>
        <w:keepLines w:val="0"/>
        <w:pageBreakBefore w:val="1"/>
        <w:widowControl w:val="1"/>
        <w:pBdr>
          <w:top w:space="0" w:sz="0" w:val="nil"/>
          <w:left w:space="0" w:sz="0" w:val="nil"/>
          <w:bottom w:space="0" w:sz="0" w:val="nil"/>
          <w:right w:space="0" w:sz="0" w:val="nil"/>
          <w:between w:space="0" w:sz="0" w:val="nil"/>
        </w:pBdr>
        <w:shd w:fill="ffff00" w:val="clear"/>
        <w:tabs>
          <w:tab w:val="center" w:leader="none" w:pos="4153"/>
          <w:tab w:val="right" w:leader="none" w:pos="8306"/>
        </w:tabs>
        <w:spacing w:after="120" w:before="0" w:line="240" w:lineRule="auto"/>
        <w:ind w:left="0" w:right="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How to use this evaluation grid:</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00" w:val="clear"/>
        <w:tabs>
          <w:tab w:val="center" w:leader="none" w:pos="4153"/>
          <w:tab w:val="right" w:leader="none" w:pos="8306"/>
          <w:tab w:val="left" w:leader="none" w:pos="709"/>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categories to be used to assess the organisation and methodology (i.e. rationale, strategy, back-up function, involvement of the consortium members and timetable of activities including the number of expert days proposed) and each of the key experts (i.e. qualifications and skills, general professional experience and specific professional experience) may be modified as required and the division of scores must be adapted according to the requirements of the specific tender procedure.</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00" w:val="clear"/>
        <w:tabs>
          <w:tab w:val="center" w:leader="none" w:pos="4153"/>
          <w:tab w:val="right" w:leader="none" w:pos="8306"/>
          <w:tab w:val="left" w:leader="none" w:pos="709"/>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number of key experts must correspond to the number of key expert profiles identified in the terms of reference and must not exceed 4 key experts. The total scores of the key experts shall be comprised between 40% and 60%. </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00" w:val="clear"/>
        <w:tabs>
          <w:tab w:val="center" w:leader="none" w:pos="4153"/>
          <w:tab w:val="right" w:leader="none" w:pos="8306"/>
          <w:tab w:val="left" w:leader="none" w:pos="709"/>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overall total score should remain 100. </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00" w:val="clear"/>
        <w:tabs>
          <w:tab w:val="center" w:leader="none" w:pos="4153"/>
          <w:tab w:val="right" w:leader="none" w:pos="8306"/>
          <w:tab w:val="left" w:leader="none" w:pos="709"/>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strengths and weaknesses in this evaluation grid must reflect those commonly agreed by the committee amongst all those pointed out by the evaluators in their individual grids.  </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00" w:val="clear"/>
        <w:tabs>
          <w:tab w:val="center" w:leader="none" w:pos="4153"/>
          <w:tab w:val="right" w:leader="none" w:pos="8306"/>
          <w:tab w:val="left" w:leader="none" w:pos="709"/>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evaluation committee must evaluate tenders on the basis of this evaluation grid, which includes maximum scores. Those maximum scores cannot be modified after the deadline for informing potential tenderers of any clarifications.</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00" w:val="clear"/>
        <w:tabs>
          <w:tab w:val="center" w:leader="none" w:pos="4153"/>
          <w:tab w:val="right" w:leader="none" w:pos="8306"/>
          <w:tab w:val="left" w:leader="none" w:pos="709"/>
        </w:tabs>
        <w:spacing w:after="120" w:before="0" w:line="240" w:lineRule="auto"/>
        <w:ind w:left="720" w:right="0" w:hanging="360"/>
        <w:jc w:val="both"/>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Please delete the highlighted text.</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7" w:orient="portrait"/>
      <w:pgMar w:bottom="1134" w:top="1106" w:left="1797" w:right="1797" w:header="720" w:footer="52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12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b8m1_evalgrid_fees_en.doc</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EVALUATION GRID</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alibri" w:cs="Calibri" w:eastAsia="Calibri" w:hAnsi="Calibri"/>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ascii="Times New Roman" w:hAnsi="Times New Roman"/>
      <w:sz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er">
    <w:name w:val="footer"/>
    <w:basedOn w:val="Normal"/>
    <w:pPr>
      <w:tabs>
        <w:tab w:val="center" w:pos="4153"/>
        <w:tab w:val="right" w:pos="8306"/>
      </w:tabs>
    </w:pPr>
  </w:style>
  <w:style w:type="paragraph" w:styleId="Header">
    <w:name w:val="header"/>
    <w:basedOn w:val="Normal"/>
    <w:link w:val="HeaderChar"/>
    <w:pPr>
      <w:tabs>
        <w:tab w:val="center" w:pos="4153"/>
        <w:tab w:val="right" w:pos="8306"/>
      </w:tabs>
    </w:pPr>
  </w:style>
  <w:style w:type="paragraph" w:styleId="BalloonText">
    <w:name w:val="Balloon Text"/>
    <w:basedOn w:val="Normal"/>
    <w:semiHidden w:val="1"/>
    <w:rsid w:val="00FB02EF"/>
    <w:rPr>
      <w:rFonts w:ascii="Tahoma" w:cs="Tahoma" w:hAnsi="Tahoma"/>
      <w:sz w:val="16"/>
      <w:szCs w:val="16"/>
    </w:rPr>
  </w:style>
  <w:style w:type="character" w:styleId="PageNumber">
    <w:name w:val="page number"/>
    <w:basedOn w:val="DefaultParagraphFont"/>
    <w:rsid w:val="00FB02EF"/>
  </w:style>
  <w:style w:type="character" w:styleId="HeaderChar" w:customStyle="1">
    <w:name w:val="Header Char"/>
    <w:link w:val="Header"/>
    <w:rsid w:val="00E90600"/>
    <w:rPr>
      <w:rFonts w:ascii="Times New Roman" w:hAnsi="Times New Roman"/>
      <w:sz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JX0+gcnP7+V9gKwe+fa8ZmpgxwA==">AMUW2mWGueOckt6TXAZI5/e8ma1IlhysR3+jZorUm9gb1wQK+lsyIu3mdw8T6Id/170/eefBNCfGXY6SEqlA+KxgunGDfnvLxtXRg+FtMYkfMI/17I3vGy01/TT2VB+oPp571eYK6C4e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2018-12-18T11:18:00Z</dcterms:created>
  <dc:creator>silvajq</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1063092991</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