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5"/>
        <w:gridCol w:w="915"/>
        <w:tblGridChange w:id="0">
          <w:tblGrid>
            <w:gridCol w:w="7935"/>
            <w:gridCol w:w="915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Max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Technical capacity, including: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Qualifications and skills of the service provider/qualified permanent staff available among the bidder’s 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human resources: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Relevance of the bios of the team sample engaged in the project. (5)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Availability to travel within the counties where the project is implemented. 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Professional experience of the proposed service provider: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in training and 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consulting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within the media d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evelopment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sector. (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 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Experience in tailored assistance for non-profit media and for outlets operating in Eastern and/or Southern European media markets (20)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in drafting and assessing media viability strategies. marketing and audience development. and digital strategies for community engagement. (20)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in research and data analysis on the media market. (20)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Proven e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xperience in producing and 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disseminating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quality multimedia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content targeting the European media market. (</w:t>
            </w: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unito" w:cs="Nunito" w:eastAsia="Nunito" w:hAnsi="Nuni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Financial offer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Overall total score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rPr>
          <w:rFonts w:ascii="Nunito" w:cs="Nunito" w:eastAsia="Nunito" w:hAnsi="Nunito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7365"/>
        <w:tblGridChange w:id="0">
          <w:tblGrid>
            <w:gridCol w:w="1530"/>
            <w:gridCol w:w="7365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Strengths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40" w:before="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40" w:before="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Weaknesses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40" w:before="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rPr>
          <w:rFonts w:ascii="Nunito" w:cs="Nunito" w:eastAsia="Nunito" w:hAnsi="Nuni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rPr>
          <w:rFonts w:ascii="Nunito" w:cs="Nunito" w:eastAsia="Nunito" w:hAnsi="Nuni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rPr>
          <w:rFonts w:ascii="Nunito" w:cs="Nunito" w:eastAsia="Nunito" w:hAnsi="Nunito"/>
          <w:color w:val="000000"/>
        </w:rPr>
      </w:pPr>
      <w:r w:rsidDel="00000000" w:rsidR="00000000" w:rsidRPr="00000000">
        <w:rPr>
          <w:rFonts w:ascii="Nunito" w:cs="Nunito" w:eastAsia="Nunito" w:hAnsi="Nunito"/>
          <w:color w:val="000000"/>
          <w:sz w:val="20"/>
          <w:szCs w:val="20"/>
          <w:rtl w:val="0"/>
        </w:rPr>
        <w:t xml:space="preserve">NB: Only tenders with average scores of at least 75 points qualify for the financial evaluation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246" w:left="1797" w:right="1797" w:header="720" w:footer="5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before="120" w:lineRule="auto"/>
      <w:rPr>
        <w:rFonts w:ascii="Nunito" w:cs="Nunito" w:eastAsia="Nunito" w:hAnsi="Nunito"/>
        <w:color w:val="000000"/>
        <w:sz w:val="20"/>
        <w:szCs w:val="20"/>
      </w:rPr>
    </w:pPr>
    <w:r w:rsidDel="00000000" w:rsidR="00000000" w:rsidRPr="00000000">
      <w:rPr>
        <w:rFonts w:ascii="Nunito" w:cs="Nunito" w:eastAsia="Nunito" w:hAnsi="Nunito"/>
        <w:sz w:val="20"/>
        <w:szCs w:val="20"/>
        <w:rtl w:val="0"/>
      </w:rPr>
      <w:t xml:space="preserve">10_Evaluation_Grid_MOST</w:t>
    </w:r>
    <w:r w:rsidDel="00000000" w:rsidR="00000000" w:rsidRPr="00000000">
      <w:rPr>
        <w:rFonts w:ascii="Nunito" w:cs="Nunito" w:eastAsia="Nunito" w:hAnsi="Nunito"/>
        <w:color w:val="000000"/>
        <w:sz w:val="20"/>
        <w:szCs w:val="20"/>
        <w:rtl w:val="0"/>
      </w:rPr>
      <w:t xml:space="preserve">                                                                         Page </w:t>
    </w:r>
    <w:r w:rsidDel="00000000" w:rsidR="00000000" w:rsidRPr="00000000">
      <w:rPr>
        <w:rFonts w:ascii="Nunito" w:cs="Nunito" w:eastAsia="Nunito" w:hAnsi="Nunito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Nunito" w:cs="Nunito" w:eastAsia="Nunito" w:hAnsi="Nunito"/>
        <w:color w:val="000000"/>
        <w:sz w:val="20"/>
        <w:szCs w:val="20"/>
        <w:rtl w:val="0"/>
      </w:rPr>
      <w:t xml:space="preserve"> of </w:t>
    </w:r>
    <w:r w:rsidDel="00000000" w:rsidR="00000000" w:rsidRPr="00000000">
      <w:rPr>
        <w:rFonts w:ascii="Nunito" w:cs="Nunito" w:eastAsia="Nunito" w:hAnsi="Nunito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rFonts w:ascii="Nunito Light" w:cs="Nunito Light" w:eastAsia="Nunito Light" w:hAnsi="Nunito Light"/>
        <w:color w:val="000000"/>
        <w:sz w:val="28"/>
        <w:szCs w:val="28"/>
      </w:rPr>
    </w:pPr>
    <w:r w:rsidDel="00000000" w:rsidR="00000000" w:rsidRPr="00000000">
      <w:rPr>
        <w:rFonts w:ascii="Nunito Light" w:cs="Nunito Light" w:eastAsia="Nunito Light" w:hAnsi="Nunito Light"/>
        <w:color w:val="000000"/>
        <w:sz w:val="28"/>
        <w:szCs w:val="28"/>
        <w:rtl w:val="0"/>
      </w:rPr>
      <w:t xml:space="preserve">EVALUATION GRID FOR GLOBAL PRICE CONTRACTS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Light-regular.ttf"/><Relationship Id="rId6" Type="http://schemas.openxmlformats.org/officeDocument/2006/relationships/font" Target="fonts/NunitoLight-bold.ttf"/><Relationship Id="rId7" Type="http://schemas.openxmlformats.org/officeDocument/2006/relationships/font" Target="fonts/NunitoLight-italic.ttf"/><Relationship Id="rId8" Type="http://schemas.openxmlformats.org/officeDocument/2006/relationships/font" Target="fonts/Nuni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1063092991</vt:lpwstr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>_ReviewingToolsShownOnce</vt:lpwstr>
  </property>
  <property fmtid="{D5CDD505-2E9C-101B-9397-08002B2CF9AE}" pid="7" name="Checked by">
    <vt:lpwstr>cajalja</vt:lpwstr>
  </property>
</Properties>
</file>